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5B" w:rsidRPr="00D2202B" w:rsidRDefault="006B6372" w:rsidP="00ED0A4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202B">
        <w:rPr>
          <w:rFonts w:asciiTheme="majorBidi" w:hAnsiTheme="majorBidi" w:cstheme="majorBidi"/>
          <w:b/>
          <w:bCs/>
          <w:sz w:val="24"/>
          <w:szCs w:val="24"/>
        </w:rPr>
        <w:t>A</w:t>
      </w:r>
      <w:bookmarkStart w:id="0" w:name="_GoBack"/>
      <w:bookmarkEnd w:id="0"/>
      <w:r w:rsidRPr="00D2202B">
        <w:rPr>
          <w:rFonts w:asciiTheme="majorBidi" w:hAnsiTheme="majorBidi" w:cstheme="majorBidi"/>
          <w:b/>
          <w:bCs/>
          <w:sz w:val="24"/>
          <w:szCs w:val="24"/>
        </w:rPr>
        <w:t>NTIBACTERIAL AC</w:t>
      </w:r>
      <w:r w:rsidR="00FD0875" w:rsidRPr="00D2202B">
        <w:rPr>
          <w:rFonts w:asciiTheme="majorBidi" w:hAnsiTheme="majorBidi" w:cstheme="majorBidi"/>
          <w:b/>
          <w:bCs/>
          <w:sz w:val="24"/>
          <w:szCs w:val="24"/>
        </w:rPr>
        <w:t>TIVITY OF CHESTNUT HONEY (</w:t>
      </w:r>
      <w:r w:rsidR="007D711E" w:rsidRPr="00D2202B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7D711E" w:rsidRPr="00D2202B">
        <w:rPr>
          <w:rFonts w:asciiTheme="majorBidi" w:hAnsiTheme="majorBidi" w:cstheme="majorBidi"/>
          <w:b/>
          <w:bCs/>
          <w:i/>
          <w:iCs/>
          <w:sz w:val="24"/>
          <w:szCs w:val="24"/>
        </w:rPr>
        <w:t>astanea sativa</w:t>
      </w:r>
      <w:r w:rsidR="007D711E" w:rsidRPr="00D22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0875" w:rsidRPr="00D2202B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D711E" w:rsidRPr="00D2202B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="00FD0875" w:rsidRPr="00D2202B">
        <w:rPr>
          <w:rFonts w:asciiTheme="majorBidi" w:hAnsiTheme="majorBidi" w:cstheme="majorBidi"/>
          <w:b/>
          <w:bCs/>
          <w:sz w:val="24"/>
          <w:szCs w:val="24"/>
        </w:rPr>
        <w:t xml:space="preserve">.) AGAINST </w:t>
      </w:r>
      <w:r w:rsidR="007D711E" w:rsidRPr="00D2202B">
        <w:rPr>
          <w:rFonts w:asciiTheme="majorBidi" w:hAnsiTheme="majorBidi" w:cstheme="majorBidi"/>
          <w:b/>
          <w:bCs/>
          <w:i/>
          <w:sz w:val="24"/>
          <w:szCs w:val="24"/>
        </w:rPr>
        <w:t>H</w:t>
      </w:r>
      <w:r w:rsidR="007D711E" w:rsidRPr="00D2202B">
        <w:rPr>
          <w:rFonts w:asciiTheme="majorBidi" w:hAnsiTheme="majorBidi" w:cstheme="majorBidi"/>
          <w:b/>
          <w:bCs/>
          <w:i/>
          <w:iCs/>
          <w:sz w:val="24"/>
          <w:szCs w:val="24"/>
        </w:rPr>
        <w:t>elicobacter pylori</w:t>
      </w:r>
      <w:r w:rsidR="007D711E" w:rsidRPr="00D22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0875" w:rsidRPr="00D2202B">
        <w:rPr>
          <w:rFonts w:asciiTheme="majorBidi" w:hAnsiTheme="majorBidi" w:cstheme="majorBidi"/>
          <w:b/>
          <w:bCs/>
          <w:sz w:val="24"/>
          <w:szCs w:val="24"/>
        </w:rPr>
        <w:t>AND CORRELATION TO ITS ANTIOXIDANT CAPACITY</w:t>
      </w:r>
    </w:p>
    <w:p w:rsidR="00FD0875" w:rsidRPr="00D2202B" w:rsidRDefault="00FD0875" w:rsidP="00ED0A4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u w:val="single"/>
        </w:rPr>
        <w:t>Sabina Cviljević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2202B">
        <w:rPr>
          <w:rFonts w:asciiTheme="majorBidi" w:hAnsiTheme="majorBidi" w:cstheme="majorBidi"/>
          <w:sz w:val="24"/>
          <w:szCs w:val="24"/>
        </w:rPr>
        <w:t>, Blanka Bilić Rajs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Ljiljana Primorac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Ivica Strelec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Ariana Penava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2202B">
        <w:rPr>
          <w:rFonts w:asciiTheme="majorBidi" w:hAnsiTheme="majorBidi" w:cstheme="majorBidi"/>
          <w:sz w:val="24"/>
          <w:szCs w:val="24"/>
        </w:rPr>
        <w:t>, Anita Mindum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2202B">
        <w:rPr>
          <w:rFonts w:asciiTheme="majorBidi" w:hAnsiTheme="majorBidi" w:cstheme="majorBidi"/>
          <w:sz w:val="24"/>
          <w:szCs w:val="24"/>
        </w:rPr>
        <w:t>, Ivana Flanjak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FD0875" w:rsidRPr="00D2202B" w:rsidRDefault="00FD0875" w:rsidP="00D2202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C65E97" w:rsidRPr="00D2202B">
        <w:rPr>
          <w:rFonts w:asciiTheme="majorBidi" w:hAnsiTheme="majorBidi" w:cstheme="majorBidi"/>
          <w:sz w:val="24"/>
          <w:szCs w:val="24"/>
        </w:rPr>
        <w:t>General Hospital Požega, Osječka 107, 34000 Požega, Croatia</w:t>
      </w:r>
    </w:p>
    <w:p w:rsidR="00F813DB" w:rsidRPr="00D2202B" w:rsidRDefault="00F813DB" w:rsidP="00D2202B">
      <w:pPr>
        <w:spacing w:after="0" w:line="240" w:lineRule="auto"/>
        <w:jc w:val="center"/>
        <w:rPr>
          <w:rFonts w:asciiTheme="majorBidi" w:hAnsiTheme="majorBidi" w:cstheme="majorBidi"/>
          <w:sz w:val="24"/>
          <w:lang w:val="en-GB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lang w:val="en-GB"/>
        </w:rPr>
        <w:t xml:space="preserve">Josip </w:t>
      </w:r>
      <w:proofErr w:type="spellStart"/>
      <w:r w:rsidRPr="00D2202B">
        <w:rPr>
          <w:rFonts w:asciiTheme="majorBidi" w:hAnsiTheme="majorBidi" w:cstheme="majorBidi"/>
          <w:sz w:val="24"/>
          <w:lang w:val="en-GB"/>
        </w:rPr>
        <w:t>Juraj</w:t>
      </w:r>
      <w:proofErr w:type="spellEnd"/>
      <w:r w:rsidRPr="00D2202B">
        <w:rPr>
          <w:rFonts w:asciiTheme="majorBidi" w:hAnsiTheme="majorBidi" w:cstheme="majorBidi"/>
          <w:sz w:val="24"/>
          <w:lang w:val="en-GB"/>
        </w:rPr>
        <w:t xml:space="preserve"> </w:t>
      </w:r>
      <w:proofErr w:type="spellStart"/>
      <w:r w:rsidRPr="00D2202B">
        <w:rPr>
          <w:rFonts w:asciiTheme="majorBidi" w:hAnsiTheme="majorBidi" w:cstheme="majorBidi"/>
          <w:sz w:val="24"/>
          <w:lang w:val="en-GB"/>
        </w:rPr>
        <w:t>Strossmayer</w:t>
      </w:r>
      <w:proofErr w:type="spellEnd"/>
      <w:r w:rsidRPr="00D2202B">
        <w:rPr>
          <w:rFonts w:asciiTheme="majorBidi" w:hAnsiTheme="majorBidi" w:cstheme="majorBidi"/>
          <w:sz w:val="24"/>
          <w:lang w:val="en-GB"/>
        </w:rPr>
        <w:t xml:space="preserve"> University of Osijek, Faculty of Food Tec</w:t>
      </w:r>
      <w:r w:rsidR="00396313" w:rsidRPr="00D2202B">
        <w:rPr>
          <w:rFonts w:asciiTheme="majorBidi" w:hAnsiTheme="majorBidi" w:cstheme="majorBidi"/>
          <w:sz w:val="24"/>
          <w:lang w:val="en-GB"/>
        </w:rPr>
        <w:t xml:space="preserve">hnology Osijek, </w:t>
      </w:r>
      <w:proofErr w:type="spellStart"/>
      <w:r w:rsidR="00396313" w:rsidRPr="00D2202B">
        <w:rPr>
          <w:rFonts w:asciiTheme="majorBidi" w:hAnsiTheme="majorBidi" w:cstheme="majorBidi"/>
          <w:sz w:val="24"/>
          <w:lang w:val="en-GB"/>
        </w:rPr>
        <w:t>Franje</w:t>
      </w:r>
      <w:proofErr w:type="spellEnd"/>
      <w:r w:rsidR="00396313" w:rsidRPr="00D2202B">
        <w:rPr>
          <w:rFonts w:asciiTheme="majorBidi" w:hAnsiTheme="majorBidi" w:cstheme="majorBidi"/>
          <w:sz w:val="24"/>
          <w:lang w:val="en-GB"/>
        </w:rPr>
        <w:t xml:space="preserve"> </w:t>
      </w:r>
      <w:proofErr w:type="spellStart"/>
      <w:r w:rsidR="00396313" w:rsidRPr="00D2202B">
        <w:rPr>
          <w:rFonts w:asciiTheme="majorBidi" w:hAnsiTheme="majorBidi" w:cstheme="majorBidi"/>
          <w:sz w:val="24"/>
          <w:lang w:val="en-GB"/>
        </w:rPr>
        <w:t>Kuhača</w:t>
      </w:r>
      <w:proofErr w:type="spellEnd"/>
      <w:r w:rsidR="00396313" w:rsidRPr="00D2202B">
        <w:rPr>
          <w:rFonts w:asciiTheme="majorBidi" w:hAnsiTheme="majorBidi" w:cstheme="majorBidi"/>
          <w:sz w:val="24"/>
          <w:lang w:val="en-GB"/>
        </w:rPr>
        <w:t xml:space="preserve"> 18</w:t>
      </w:r>
      <w:r w:rsidRPr="00D2202B">
        <w:rPr>
          <w:rFonts w:asciiTheme="majorBidi" w:hAnsiTheme="majorBidi" w:cstheme="majorBidi"/>
          <w:sz w:val="24"/>
          <w:lang w:val="en-GB"/>
        </w:rPr>
        <w:t>, 31000 Osijek, Croatia</w:t>
      </w:r>
    </w:p>
    <w:p w:rsidR="00F813DB" w:rsidRPr="00D2202B" w:rsidRDefault="00F813DB" w:rsidP="00D2202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2202B">
        <w:rPr>
          <w:rFonts w:asciiTheme="majorBidi" w:hAnsiTheme="majorBidi" w:cstheme="majorBidi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</w:rPr>
        <w:t>Instutite of Public Health Požega-Slavonia County, Županijska 9, 34000 Požega, Croatia</w:t>
      </w:r>
    </w:p>
    <w:p w:rsidR="00D2202B" w:rsidRDefault="00D2202B" w:rsidP="00ED0A4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D2202B" w:rsidRPr="00D2202B" w:rsidRDefault="00D2202B" w:rsidP="00ED0A4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202B">
        <w:rPr>
          <w:rFonts w:asciiTheme="majorBidi" w:hAnsiTheme="majorBidi" w:cstheme="majorBidi"/>
          <w:b/>
          <w:bCs/>
          <w:sz w:val="24"/>
          <w:szCs w:val="24"/>
          <w:lang w:val="en-GB"/>
        </w:rPr>
        <w:t>Abstract</w:t>
      </w:r>
    </w:p>
    <w:p w:rsidR="00396313" w:rsidRPr="00D2202B" w:rsidRDefault="005520EC" w:rsidP="00ED0A4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One of the first proven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therapeutic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properties of honey is its inhibitory effect on microorganisms. Low pH value of honey, high osmotic pressure, hydrogen peroxide and phenolic components are considered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main factors responsible for the antimicrobial activity of honey.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Scientific studies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ha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ve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shown that there is a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correlation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between the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honey colour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and its antioxidant and antimicrobial activity. Darker honey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types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, such as chestnut honey, have a higher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phenolic content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, higher antioxidant capacity and a stronger inhibitory effect on microorganisms compared to lighter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honey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types. Chestnut honey is characteristic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for the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​​continental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area of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Croatia and one of the most important </w:t>
      </w:r>
      <w:proofErr w:type="spellStart"/>
      <w:r w:rsidRPr="00D2202B">
        <w:rPr>
          <w:rFonts w:asciiTheme="majorBidi" w:hAnsiTheme="majorBidi" w:cstheme="majorBidi"/>
          <w:sz w:val="24"/>
          <w:szCs w:val="24"/>
          <w:lang w:val="en-GB"/>
        </w:rPr>
        <w:t>unifloral</w:t>
      </w:r>
      <w:proofErr w:type="spellEnd"/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types of honey produced i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n the Republic of Croatia. The aim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of this study was to examine the antimicrobial activity of chestnut honey against </w:t>
      </w:r>
      <w:r w:rsidRPr="00D2202B">
        <w:rPr>
          <w:rFonts w:asciiTheme="majorBidi" w:hAnsiTheme="majorBidi" w:cstheme="majorBidi"/>
          <w:i/>
          <w:sz w:val="24"/>
          <w:szCs w:val="24"/>
          <w:lang w:val="en-GB"/>
        </w:rPr>
        <w:t>Helicobacter pylori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to evaluate a r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elations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hip between the content of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phenols, antioxidant capacity and antimicrobial activity. The botanical origin of honey was confirmed based on the results of pollen analysis, physicochemical parameters and sensory analysis. The antimicrobial activity of honey was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determined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by the agar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well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diffusion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method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, and the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inhibitory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effect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of three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honey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concentrations (20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%, 50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% and 75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%) was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evaluated.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phenolic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content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was determined by the </w:t>
      </w:r>
      <w:proofErr w:type="spellStart"/>
      <w:r w:rsidRPr="00D2202B">
        <w:rPr>
          <w:rFonts w:asciiTheme="majorBidi" w:hAnsiTheme="majorBidi" w:cstheme="majorBidi"/>
          <w:sz w:val="24"/>
          <w:szCs w:val="24"/>
          <w:lang w:val="en-GB"/>
        </w:rPr>
        <w:t>Folin-Ciocalteu</w:t>
      </w:r>
      <w:proofErr w:type="spellEnd"/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method while the total antioxidant capacity w</w:t>
      </w:r>
      <w:r w:rsidR="00396313" w:rsidRPr="00D2202B">
        <w:rPr>
          <w:rFonts w:asciiTheme="majorBidi" w:hAnsiTheme="majorBidi" w:cstheme="majorBidi"/>
          <w:sz w:val="24"/>
          <w:szCs w:val="24"/>
          <w:lang w:val="en-GB"/>
        </w:rPr>
        <w:t>as determined by the FRAP assay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W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ater activity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and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hydrogen peroxide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>content (semi quantitative method) were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also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determined. The results showed that the zones of inhibition of </w:t>
      </w:r>
      <w:r w:rsidRPr="00D2202B">
        <w:rPr>
          <w:rFonts w:asciiTheme="majorBidi" w:hAnsiTheme="majorBidi" w:cstheme="majorBidi"/>
          <w:i/>
          <w:sz w:val="24"/>
          <w:szCs w:val="24"/>
          <w:lang w:val="en-GB"/>
        </w:rPr>
        <w:t>H. pylori</w:t>
      </w:r>
      <w:r w:rsidR="003322B7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ranged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from 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>eight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to 21 mm depending on the sample and the concentration of honey, where the concentration of honey of 20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% did not 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have inhibitory effect.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phenolic content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ranged from 204.9</w:t>
      </w:r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4 to 233.82 mg of </w:t>
      </w:r>
      <w:proofErr w:type="spellStart"/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>gallic</w:t>
      </w:r>
      <w:proofErr w:type="spellEnd"/>
      <w:r w:rsidR="006745E9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acid/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kg while FRAP values ​​were between 392.71 and 441.53 </w:t>
      </w:r>
      <w:proofErr w:type="spellStart"/>
      <w:r w:rsidRPr="00D2202B">
        <w:rPr>
          <w:rFonts w:asciiTheme="majorBidi" w:hAnsiTheme="majorBidi" w:cstheme="majorBidi"/>
          <w:sz w:val="24"/>
          <w:szCs w:val="24"/>
          <w:lang w:val="en-GB"/>
        </w:rPr>
        <w:t>μM</w:t>
      </w:r>
      <w:proofErr w:type="spellEnd"/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Fe (II). The honey sample that showed the highest antimicrobial activity against </w:t>
      </w:r>
      <w:r w:rsidRPr="00D2202B">
        <w:rPr>
          <w:rFonts w:asciiTheme="majorBidi" w:hAnsiTheme="majorBidi" w:cstheme="majorBidi"/>
          <w:i/>
          <w:sz w:val="24"/>
          <w:szCs w:val="24"/>
          <w:lang w:val="en-GB"/>
        </w:rPr>
        <w:t>H. pylori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also had the highest total antioxidant capacity. However, the same </w:t>
      </w:r>
      <w:r w:rsidR="000C1F14" w:rsidRPr="00D2202B">
        <w:rPr>
          <w:rFonts w:asciiTheme="majorBidi" w:hAnsiTheme="majorBidi" w:cstheme="majorBidi"/>
          <w:sz w:val="24"/>
          <w:szCs w:val="24"/>
          <w:lang w:val="en-GB"/>
        </w:rPr>
        <w:t>correlation</w:t>
      </w:r>
      <w:r w:rsidR="00360622" w:rsidRPr="00D2202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was not observed in the other </w:t>
      </w:r>
      <w:r w:rsidR="00396313" w:rsidRPr="00D2202B">
        <w:rPr>
          <w:rFonts w:asciiTheme="majorBidi" w:hAnsiTheme="majorBidi" w:cstheme="majorBidi"/>
          <w:sz w:val="24"/>
          <w:szCs w:val="24"/>
          <w:lang w:val="en-GB"/>
        </w:rPr>
        <w:t>analysed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 samples. Further research is needed to determine the contribution of individual components of honey to its antimicrobial activity.</w:t>
      </w:r>
    </w:p>
    <w:p w:rsidR="004068C2" w:rsidRPr="00D2202B" w:rsidRDefault="004068C2" w:rsidP="00ED0A4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068C2" w:rsidRPr="00D2202B" w:rsidRDefault="004068C2" w:rsidP="00ED0A4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2202B">
        <w:rPr>
          <w:rFonts w:asciiTheme="majorBidi" w:hAnsiTheme="majorBidi" w:cstheme="majorBidi"/>
          <w:b/>
          <w:sz w:val="24"/>
          <w:szCs w:val="24"/>
          <w:lang w:val="en-GB"/>
        </w:rPr>
        <w:t xml:space="preserve">Keywords: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 xml:space="preserve">honey, antibacterial activity, </w:t>
      </w:r>
      <w:r w:rsidRPr="00D2202B">
        <w:rPr>
          <w:rFonts w:asciiTheme="majorBidi" w:hAnsiTheme="majorBidi" w:cstheme="majorBidi"/>
          <w:i/>
          <w:sz w:val="24"/>
          <w:szCs w:val="24"/>
          <w:lang w:val="en-GB"/>
        </w:rPr>
        <w:t xml:space="preserve">Helicobacter pylori, </w:t>
      </w:r>
      <w:r w:rsidRPr="00D2202B">
        <w:rPr>
          <w:rFonts w:asciiTheme="majorBidi" w:hAnsiTheme="majorBidi" w:cstheme="majorBidi"/>
          <w:sz w:val="24"/>
          <w:szCs w:val="24"/>
          <w:lang w:val="en-GB"/>
        </w:rPr>
        <w:t>antioxidant capacity</w:t>
      </w:r>
    </w:p>
    <w:p w:rsidR="00BA0BBD" w:rsidRPr="00D2202B" w:rsidRDefault="00BA0BBD" w:rsidP="00ED0A4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96313" w:rsidRPr="00D2202B" w:rsidRDefault="00396313">
      <w:pPr>
        <w:rPr>
          <w:rFonts w:asciiTheme="majorBidi" w:hAnsiTheme="majorBidi" w:cstheme="majorBidi"/>
          <w:sz w:val="24"/>
          <w:szCs w:val="24"/>
          <w:lang w:val="en-GB"/>
        </w:rPr>
      </w:pPr>
      <w:r w:rsidRPr="00D2202B"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:rsidR="005520EC" w:rsidRPr="00D2202B" w:rsidRDefault="00396313" w:rsidP="0039631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2202B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ANTIBAKTERIJSKO DJELOVANJE MEDA OD KESTENA (</w:t>
      </w:r>
      <w:proofErr w:type="spellStart"/>
      <w:r w:rsidRPr="00D2202B">
        <w:rPr>
          <w:rFonts w:asciiTheme="majorBidi" w:hAnsiTheme="majorBidi" w:cstheme="majorBidi"/>
          <w:b/>
          <w:i/>
          <w:sz w:val="24"/>
          <w:szCs w:val="24"/>
          <w:lang w:val="en-GB"/>
        </w:rPr>
        <w:t>Castanea</w:t>
      </w:r>
      <w:proofErr w:type="spellEnd"/>
      <w:r w:rsidRPr="00D2202B">
        <w:rPr>
          <w:rFonts w:asciiTheme="majorBidi" w:hAnsiTheme="majorBidi" w:cstheme="majorBidi"/>
          <w:b/>
          <w:i/>
          <w:sz w:val="24"/>
          <w:szCs w:val="24"/>
          <w:lang w:val="en-GB"/>
        </w:rPr>
        <w:t xml:space="preserve"> </w:t>
      </w:r>
      <w:proofErr w:type="spellStart"/>
      <w:r w:rsidRPr="00D2202B">
        <w:rPr>
          <w:rFonts w:asciiTheme="majorBidi" w:hAnsiTheme="majorBidi" w:cstheme="majorBidi"/>
          <w:b/>
          <w:i/>
          <w:sz w:val="24"/>
          <w:szCs w:val="24"/>
          <w:lang w:val="en-GB"/>
        </w:rPr>
        <w:t>sativa</w:t>
      </w:r>
      <w:proofErr w:type="spellEnd"/>
      <w:r w:rsidRPr="00D2202B">
        <w:rPr>
          <w:rFonts w:asciiTheme="majorBidi" w:hAnsiTheme="majorBidi" w:cstheme="majorBidi"/>
          <w:b/>
          <w:sz w:val="24"/>
          <w:szCs w:val="24"/>
          <w:lang w:val="en-GB"/>
        </w:rPr>
        <w:t xml:space="preserve"> Mill.) U BORBI PROTIV </w:t>
      </w:r>
      <w:r w:rsidRPr="00D2202B">
        <w:rPr>
          <w:rFonts w:asciiTheme="majorBidi" w:hAnsiTheme="majorBidi" w:cstheme="majorBidi"/>
          <w:b/>
          <w:i/>
          <w:sz w:val="24"/>
          <w:szCs w:val="24"/>
          <w:lang w:val="en-GB"/>
        </w:rPr>
        <w:t>Helicobacter pylori</w:t>
      </w:r>
      <w:r w:rsidRPr="00D2202B">
        <w:rPr>
          <w:rFonts w:asciiTheme="majorBidi" w:hAnsiTheme="majorBidi" w:cstheme="majorBidi"/>
          <w:b/>
          <w:sz w:val="24"/>
          <w:szCs w:val="24"/>
          <w:lang w:val="en-GB"/>
        </w:rPr>
        <w:t xml:space="preserve"> I KORELACIJA S NJEGOVIM ANTIOKSIDATIVNIM KAPACITETOM</w:t>
      </w:r>
    </w:p>
    <w:p w:rsidR="00396313" w:rsidRPr="00D2202B" w:rsidRDefault="00396313" w:rsidP="0039631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u w:val="single"/>
        </w:rPr>
        <w:t>Sabina Cviljević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2202B">
        <w:rPr>
          <w:rFonts w:asciiTheme="majorBidi" w:hAnsiTheme="majorBidi" w:cstheme="majorBidi"/>
          <w:sz w:val="24"/>
          <w:szCs w:val="24"/>
        </w:rPr>
        <w:t>, Blanka Bilić Rajs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Ljiljana Primorac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Ivica Strelec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  <w:szCs w:val="24"/>
        </w:rPr>
        <w:t>, Ariana Penava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2202B">
        <w:rPr>
          <w:rFonts w:asciiTheme="majorBidi" w:hAnsiTheme="majorBidi" w:cstheme="majorBidi"/>
          <w:sz w:val="24"/>
          <w:szCs w:val="24"/>
        </w:rPr>
        <w:t>, Anita Mindum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2202B">
        <w:rPr>
          <w:rFonts w:asciiTheme="majorBidi" w:hAnsiTheme="majorBidi" w:cstheme="majorBidi"/>
          <w:sz w:val="24"/>
          <w:szCs w:val="24"/>
        </w:rPr>
        <w:t>, Ivana Flanjak</w:t>
      </w: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396313" w:rsidRPr="00D2202B" w:rsidRDefault="00396313" w:rsidP="00D2202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2202B">
        <w:rPr>
          <w:rFonts w:asciiTheme="majorBidi" w:hAnsiTheme="majorBidi" w:cstheme="majorBidi"/>
          <w:sz w:val="24"/>
          <w:szCs w:val="24"/>
        </w:rPr>
        <w:t>Opća bolnica Požega, Osječka 107, 34000 Požega, Hrvatska</w:t>
      </w:r>
    </w:p>
    <w:p w:rsidR="00396313" w:rsidRPr="00D2202B" w:rsidRDefault="00396313" w:rsidP="00D2202B">
      <w:pPr>
        <w:spacing w:after="0" w:line="240" w:lineRule="auto"/>
        <w:jc w:val="center"/>
        <w:rPr>
          <w:rFonts w:asciiTheme="majorBidi" w:hAnsiTheme="majorBidi" w:cstheme="majorBidi"/>
          <w:sz w:val="24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2202B">
        <w:rPr>
          <w:rFonts w:asciiTheme="majorBidi" w:hAnsiTheme="majorBidi" w:cstheme="majorBidi"/>
          <w:sz w:val="24"/>
        </w:rPr>
        <w:t xml:space="preserve">Sveučilište Josipa Juraja Strossmayera u Osijeku, Prehrambeno-tehnološki fakultet Osijek, Franje Kuhača 18, 31000 Osijek, </w:t>
      </w:r>
      <w:r w:rsidR="00ED0A40" w:rsidRPr="00D2202B">
        <w:rPr>
          <w:rFonts w:asciiTheme="majorBidi" w:hAnsiTheme="majorBidi" w:cstheme="majorBidi"/>
          <w:sz w:val="24"/>
        </w:rPr>
        <w:t>Hrvatska</w:t>
      </w:r>
    </w:p>
    <w:p w:rsidR="00396313" w:rsidRPr="00D2202B" w:rsidRDefault="00396313" w:rsidP="00D2202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ED0A40" w:rsidRPr="00D2202B">
        <w:rPr>
          <w:rFonts w:asciiTheme="majorBidi" w:hAnsiTheme="majorBidi" w:cstheme="majorBidi"/>
          <w:sz w:val="24"/>
          <w:szCs w:val="24"/>
        </w:rPr>
        <w:t>Zavod za javno zdravstvo Požeško-slavonske županije</w:t>
      </w:r>
      <w:r w:rsidRPr="00D2202B">
        <w:rPr>
          <w:rFonts w:asciiTheme="majorBidi" w:hAnsiTheme="majorBidi" w:cstheme="majorBidi"/>
          <w:sz w:val="24"/>
          <w:szCs w:val="24"/>
        </w:rPr>
        <w:t xml:space="preserve">, Županijska 9, 34000 Požega, </w:t>
      </w:r>
      <w:r w:rsidR="00ED0A40" w:rsidRPr="00D2202B">
        <w:rPr>
          <w:rFonts w:asciiTheme="majorBidi" w:hAnsiTheme="majorBidi" w:cstheme="majorBidi"/>
          <w:sz w:val="24"/>
          <w:szCs w:val="24"/>
        </w:rPr>
        <w:t>Hrvatska</w:t>
      </w:r>
    </w:p>
    <w:p w:rsidR="005520EC" w:rsidRPr="00D2202B" w:rsidRDefault="005520EC" w:rsidP="005520E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2202B" w:rsidRPr="00D2202B" w:rsidRDefault="00D2202B" w:rsidP="00F813D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202B">
        <w:rPr>
          <w:rFonts w:asciiTheme="majorBidi" w:hAnsiTheme="majorBidi" w:cstheme="majorBidi"/>
          <w:b/>
          <w:bCs/>
          <w:sz w:val="24"/>
          <w:szCs w:val="24"/>
        </w:rPr>
        <w:t>Sažetak</w:t>
      </w:r>
    </w:p>
    <w:p w:rsidR="00900AED" w:rsidRPr="00D2202B" w:rsidRDefault="009436F0" w:rsidP="00F813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sz w:val="24"/>
          <w:szCs w:val="24"/>
        </w:rPr>
        <w:t xml:space="preserve">Jedno od prvih dokazanih ljekovitih svojstava meda je inhibicijsko djelovanje na mikroorganizme. </w:t>
      </w:r>
      <w:r w:rsidR="00900AED" w:rsidRPr="00D2202B">
        <w:rPr>
          <w:rFonts w:asciiTheme="majorBidi" w:hAnsiTheme="majorBidi" w:cstheme="majorBidi"/>
          <w:sz w:val="24"/>
          <w:szCs w:val="24"/>
        </w:rPr>
        <w:t>N</w:t>
      </w:r>
      <w:r w:rsidRPr="00D2202B">
        <w:rPr>
          <w:rFonts w:asciiTheme="majorBidi" w:hAnsiTheme="majorBidi" w:cstheme="majorBidi"/>
          <w:sz w:val="24"/>
          <w:szCs w:val="24"/>
        </w:rPr>
        <w:t>iska pH vrijednost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 meda</w:t>
      </w:r>
      <w:r w:rsidRPr="00D2202B">
        <w:rPr>
          <w:rFonts w:asciiTheme="majorBidi" w:hAnsiTheme="majorBidi" w:cstheme="majorBidi"/>
          <w:sz w:val="24"/>
          <w:szCs w:val="24"/>
        </w:rPr>
        <w:t xml:space="preserve">, visoki osmotski tlak, vodikov peroksid te polifenolne komponente smatraju se glavnim čimbenicima odgovornim za antimikrobnu aktivnost meda. </w:t>
      </w:r>
      <w:r w:rsidR="00900AED" w:rsidRPr="00D2202B">
        <w:rPr>
          <w:rFonts w:asciiTheme="majorBidi" w:hAnsiTheme="majorBidi" w:cstheme="majorBidi"/>
          <w:sz w:val="24"/>
          <w:szCs w:val="24"/>
        </w:rPr>
        <w:t>Istraživanja su pokazala da postoji povezanost između boje meda i njegove antioksidativne te antimikrobne aktivnosti. Tamnije vrste meda</w:t>
      </w:r>
      <w:r w:rsidR="00BC7CF1" w:rsidRPr="00D2202B">
        <w:rPr>
          <w:rFonts w:asciiTheme="majorBidi" w:hAnsiTheme="majorBidi" w:cstheme="majorBidi"/>
          <w:sz w:val="24"/>
          <w:szCs w:val="24"/>
        </w:rPr>
        <w:t>, poput meda od kestena,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 imaju veći udio ukupnih polifenola, veći antioksidativni kapacitet te jače in</w:t>
      </w:r>
      <w:r w:rsidR="00CB0C59" w:rsidRPr="00D2202B">
        <w:rPr>
          <w:rFonts w:asciiTheme="majorBidi" w:hAnsiTheme="majorBidi" w:cstheme="majorBidi"/>
          <w:sz w:val="24"/>
          <w:szCs w:val="24"/>
        </w:rPr>
        <w:t>hibicijsko djelovanje na mikroo</w:t>
      </w:r>
      <w:r w:rsidR="00900AED" w:rsidRPr="00D2202B">
        <w:rPr>
          <w:rFonts w:asciiTheme="majorBidi" w:hAnsiTheme="majorBidi" w:cstheme="majorBidi"/>
          <w:sz w:val="24"/>
          <w:szCs w:val="24"/>
        </w:rPr>
        <w:t>r</w:t>
      </w:r>
      <w:r w:rsidR="00CB0C59" w:rsidRPr="00D2202B">
        <w:rPr>
          <w:rFonts w:asciiTheme="majorBidi" w:hAnsiTheme="majorBidi" w:cstheme="majorBidi"/>
          <w:sz w:val="24"/>
          <w:szCs w:val="24"/>
        </w:rPr>
        <w:t>g</w:t>
      </w:r>
      <w:r w:rsidR="00900AED" w:rsidRPr="00D2202B">
        <w:rPr>
          <w:rFonts w:asciiTheme="majorBidi" w:hAnsiTheme="majorBidi" w:cstheme="majorBidi"/>
          <w:sz w:val="24"/>
          <w:szCs w:val="24"/>
        </w:rPr>
        <w:t>anizme</w:t>
      </w:r>
      <w:r w:rsidR="00BC7CF1" w:rsidRPr="00D2202B">
        <w:rPr>
          <w:rFonts w:asciiTheme="majorBidi" w:hAnsiTheme="majorBidi" w:cstheme="majorBidi"/>
          <w:sz w:val="24"/>
          <w:szCs w:val="24"/>
        </w:rPr>
        <w:t xml:space="preserve"> u odnosu na svjetlije vrste. Med od kestena karakterističan je za područje kontinentalne Hrvatske i jedna od najznačajnijih uniflornih vrsta meda </w:t>
      </w:r>
      <w:r w:rsidR="005520EC" w:rsidRPr="00D2202B">
        <w:rPr>
          <w:rFonts w:asciiTheme="majorBidi" w:hAnsiTheme="majorBidi" w:cstheme="majorBidi"/>
          <w:sz w:val="24"/>
          <w:szCs w:val="24"/>
        </w:rPr>
        <w:t xml:space="preserve">koji se proizvode u Republici Hrvatskoj. 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Zadatak ovog rada bio je ispitati antimikrobnu aktivnost meda od kestena na bakteriju </w:t>
      </w:r>
      <w:r w:rsidR="00900AED" w:rsidRPr="00D2202B">
        <w:rPr>
          <w:rFonts w:asciiTheme="majorBidi" w:hAnsiTheme="majorBidi" w:cstheme="majorBidi"/>
          <w:i/>
          <w:sz w:val="24"/>
          <w:szCs w:val="24"/>
        </w:rPr>
        <w:t>Helicobacter pylori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 te vidjeti postoji li povezanost između udjela ukupnih fenola, antioksidativnog kapaciteta i antimikrobne aktivnosti. Botaničko podrijetlo meda potvrđeno je </w:t>
      </w:r>
      <w:r w:rsidR="00F7743B" w:rsidRPr="00D2202B">
        <w:rPr>
          <w:rFonts w:asciiTheme="majorBidi" w:hAnsiTheme="majorBidi" w:cstheme="majorBidi"/>
          <w:sz w:val="24"/>
          <w:szCs w:val="24"/>
        </w:rPr>
        <w:t>na osnovu rezultata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 pelud</w:t>
      </w:r>
      <w:r w:rsidR="00F7743B" w:rsidRPr="00D2202B">
        <w:rPr>
          <w:rFonts w:asciiTheme="majorBidi" w:hAnsiTheme="majorBidi" w:cstheme="majorBidi"/>
          <w:sz w:val="24"/>
          <w:szCs w:val="24"/>
        </w:rPr>
        <w:t xml:space="preserve">ne analize, fizikalno-kemijskih parametara i senzorske analize. </w:t>
      </w:r>
      <w:r w:rsidR="00900AED" w:rsidRPr="00D2202B">
        <w:rPr>
          <w:rFonts w:asciiTheme="majorBidi" w:hAnsiTheme="majorBidi" w:cstheme="majorBidi"/>
          <w:sz w:val="24"/>
          <w:szCs w:val="24"/>
        </w:rPr>
        <w:t xml:space="preserve"> </w:t>
      </w:r>
      <w:r w:rsidR="00F7743B" w:rsidRPr="00D2202B">
        <w:rPr>
          <w:rFonts w:asciiTheme="majorBidi" w:hAnsiTheme="majorBidi" w:cstheme="majorBidi"/>
          <w:sz w:val="24"/>
          <w:szCs w:val="24"/>
        </w:rPr>
        <w:t>Antimikrobna aktivnost meda ispitana metodom agar difuzije u jažicama, a ispitana je djelotvornost tri koncent</w:t>
      </w:r>
      <w:r w:rsidR="00CA02BF" w:rsidRPr="00D2202B">
        <w:rPr>
          <w:rFonts w:asciiTheme="majorBidi" w:hAnsiTheme="majorBidi" w:cstheme="majorBidi"/>
          <w:sz w:val="24"/>
          <w:szCs w:val="24"/>
        </w:rPr>
        <w:t>racije meda (20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 %, 50 % i 75 %). </w:t>
      </w:r>
      <w:r w:rsidR="00F7743B" w:rsidRPr="00D2202B">
        <w:rPr>
          <w:rFonts w:asciiTheme="majorBidi" w:hAnsiTheme="majorBidi" w:cstheme="majorBidi"/>
          <w:sz w:val="24"/>
          <w:szCs w:val="24"/>
        </w:rPr>
        <w:t xml:space="preserve">Udio ukupnih fenola određen je Folin-Ciocalteu metodom dok je ukupni antioksidativni kapacitet određen FRAP metodom. 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Osim toga, određen je aktivitet vode uzoraka meda </w:t>
      </w:r>
      <w:r w:rsidR="00CB0C59" w:rsidRPr="00D2202B">
        <w:rPr>
          <w:rFonts w:asciiTheme="majorBidi" w:hAnsiTheme="majorBidi" w:cstheme="majorBidi"/>
          <w:sz w:val="24"/>
          <w:szCs w:val="24"/>
        </w:rPr>
        <w:t>te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 udio vodikovog peroksida semikvantitativnom metodom. </w:t>
      </w:r>
      <w:r w:rsidR="00F7743B" w:rsidRPr="00D2202B">
        <w:rPr>
          <w:rFonts w:asciiTheme="majorBidi" w:hAnsiTheme="majorBidi" w:cstheme="majorBidi"/>
          <w:sz w:val="24"/>
          <w:szCs w:val="24"/>
        </w:rPr>
        <w:t>Rezult</w:t>
      </w:r>
      <w:r w:rsidR="00CA02BF" w:rsidRPr="00D2202B">
        <w:rPr>
          <w:rFonts w:asciiTheme="majorBidi" w:hAnsiTheme="majorBidi" w:cstheme="majorBidi"/>
          <w:sz w:val="24"/>
          <w:szCs w:val="24"/>
        </w:rPr>
        <w:t xml:space="preserve">ati istraživanja pokazali su da zone inhibicije bakterije </w:t>
      </w:r>
      <w:r w:rsidR="00CA02BF" w:rsidRPr="00D2202B">
        <w:rPr>
          <w:rFonts w:asciiTheme="majorBidi" w:hAnsiTheme="majorBidi" w:cstheme="majorBidi"/>
          <w:i/>
          <w:sz w:val="24"/>
          <w:szCs w:val="24"/>
        </w:rPr>
        <w:t>H. pylori</w:t>
      </w:r>
      <w:r w:rsidR="00CA02BF" w:rsidRPr="00D2202B">
        <w:rPr>
          <w:rFonts w:asciiTheme="majorBidi" w:hAnsiTheme="majorBidi" w:cstheme="majorBidi"/>
          <w:sz w:val="24"/>
          <w:szCs w:val="24"/>
        </w:rPr>
        <w:t xml:space="preserve"> na hranjivom agaru od 8 do 21 mm ovisno o uzorku i koncentraciji meda</w:t>
      </w:r>
      <w:r w:rsidR="008D0049" w:rsidRPr="00D2202B">
        <w:rPr>
          <w:rFonts w:asciiTheme="majorBidi" w:hAnsiTheme="majorBidi" w:cstheme="majorBidi"/>
          <w:sz w:val="24"/>
          <w:szCs w:val="24"/>
        </w:rPr>
        <w:t>, pri čemu koncentracija meda od</w:t>
      </w:r>
      <w:r w:rsidR="00CA02BF" w:rsidRPr="00D2202B">
        <w:rPr>
          <w:rFonts w:asciiTheme="majorBidi" w:hAnsiTheme="majorBidi" w:cstheme="majorBidi"/>
          <w:sz w:val="24"/>
          <w:szCs w:val="24"/>
        </w:rPr>
        <w:t xml:space="preserve"> 20 % nije djelovala inhibitorno</w:t>
      </w:r>
      <w:r w:rsidR="008D0049" w:rsidRPr="00D2202B">
        <w:rPr>
          <w:rFonts w:asciiTheme="majorBidi" w:hAnsiTheme="majorBidi" w:cstheme="majorBidi"/>
          <w:sz w:val="24"/>
          <w:szCs w:val="24"/>
        </w:rPr>
        <w:t>. Udio ukupnih fenola iznosio je od 204,94 do 233,82 mg galne kiseline/kg dok su FRAP vrijednosti bile između 392,71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 </w:t>
      </w:r>
      <w:r w:rsidR="008D0049" w:rsidRPr="00D2202B">
        <w:rPr>
          <w:rFonts w:asciiTheme="majorBidi" w:hAnsiTheme="majorBidi" w:cstheme="majorBidi"/>
          <w:sz w:val="24"/>
          <w:szCs w:val="24"/>
        </w:rPr>
        <w:t xml:space="preserve">i 441,53 μM Fe (II). Uzorak meda koji je pokazao najveću antimikrobnu aktivnost na bakteriju </w:t>
      </w:r>
      <w:r w:rsidR="008D0049" w:rsidRPr="00D2202B">
        <w:rPr>
          <w:rFonts w:asciiTheme="majorBidi" w:hAnsiTheme="majorBidi" w:cstheme="majorBidi"/>
          <w:i/>
          <w:sz w:val="24"/>
          <w:szCs w:val="24"/>
        </w:rPr>
        <w:t>H. pylori</w:t>
      </w:r>
      <w:r w:rsidR="008D0049" w:rsidRPr="00D2202B">
        <w:rPr>
          <w:rFonts w:asciiTheme="majorBidi" w:hAnsiTheme="majorBidi" w:cstheme="majorBidi"/>
          <w:sz w:val="24"/>
          <w:szCs w:val="24"/>
        </w:rPr>
        <w:t xml:space="preserve"> imao je i najveći ukupni antioksidativni kapacitet. Međutim, 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isti </w:t>
      </w:r>
      <w:r w:rsidR="00360622" w:rsidRPr="00D2202B">
        <w:rPr>
          <w:rFonts w:asciiTheme="majorBidi" w:hAnsiTheme="majorBidi" w:cstheme="majorBidi"/>
          <w:sz w:val="24"/>
          <w:szCs w:val="24"/>
        </w:rPr>
        <w:t>odnos</w:t>
      </w:r>
      <w:r w:rsidR="007C7A00" w:rsidRPr="00D2202B">
        <w:rPr>
          <w:rFonts w:asciiTheme="majorBidi" w:hAnsiTheme="majorBidi" w:cstheme="majorBidi"/>
          <w:sz w:val="24"/>
          <w:szCs w:val="24"/>
        </w:rPr>
        <w:t xml:space="preserve"> nije uočen kod ostalih ispitivanih uzoraka. Daljnja istraživanja potrebna su kako bi se utvrdio doprinos pojedinih komponenti meda njegovoj antimikrobnoj aktivnosti. </w:t>
      </w:r>
    </w:p>
    <w:p w:rsidR="002B7B34" w:rsidRPr="00D2202B" w:rsidRDefault="002B7B34" w:rsidP="00F813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7B34" w:rsidRPr="00D2202B" w:rsidRDefault="002B7B34" w:rsidP="00F813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202B">
        <w:rPr>
          <w:rFonts w:asciiTheme="majorBidi" w:hAnsiTheme="majorBidi" w:cstheme="majorBidi"/>
          <w:b/>
          <w:sz w:val="24"/>
          <w:szCs w:val="24"/>
        </w:rPr>
        <w:t xml:space="preserve">Ključne riječi: </w:t>
      </w:r>
      <w:r w:rsidRPr="00D2202B">
        <w:rPr>
          <w:rFonts w:asciiTheme="majorBidi" w:hAnsiTheme="majorBidi" w:cstheme="majorBidi"/>
          <w:sz w:val="24"/>
          <w:szCs w:val="24"/>
        </w:rPr>
        <w:t xml:space="preserve">med, antibakterijska aktivnost, </w:t>
      </w:r>
      <w:r w:rsidRPr="00D2202B">
        <w:rPr>
          <w:rFonts w:asciiTheme="majorBidi" w:hAnsiTheme="majorBidi" w:cstheme="majorBidi"/>
          <w:i/>
          <w:sz w:val="24"/>
          <w:szCs w:val="24"/>
        </w:rPr>
        <w:t>Helicobacter pylori</w:t>
      </w:r>
      <w:r w:rsidRPr="00D2202B">
        <w:rPr>
          <w:rFonts w:asciiTheme="majorBidi" w:hAnsiTheme="majorBidi" w:cstheme="majorBidi"/>
          <w:sz w:val="24"/>
          <w:szCs w:val="24"/>
        </w:rPr>
        <w:t>, antioksidativni kapacitet</w:t>
      </w:r>
    </w:p>
    <w:sectPr w:rsidR="002B7B34" w:rsidRPr="00D2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75"/>
    <w:rsid w:val="000C1F14"/>
    <w:rsid w:val="000C53C3"/>
    <w:rsid w:val="002B7B34"/>
    <w:rsid w:val="003322B7"/>
    <w:rsid w:val="00360622"/>
    <w:rsid w:val="00396313"/>
    <w:rsid w:val="004068C2"/>
    <w:rsid w:val="00425FA1"/>
    <w:rsid w:val="005520EC"/>
    <w:rsid w:val="006745E9"/>
    <w:rsid w:val="006B6372"/>
    <w:rsid w:val="007C7A00"/>
    <w:rsid w:val="007D711E"/>
    <w:rsid w:val="008D0049"/>
    <w:rsid w:val="00900AED"/>
    <w:rsid w:val="009436F0"/>
    <w:rsid w:val="0094785B"/>
    <w:rsid w:val="00BA0BBD"/>
    <w:rsid w:val="00BB3D34"/>
    <w:rsid w:val="00BC7CF1"/>
    <w:rsid w:val="00C65E97"/>
    <w:rsid w:val="00CA02BF"/>
    <w:rsid w:val="00CB0C59"/>
    <w:rsid w:val="00D2202B"/>
    <w:rsid w:val="00ED0A40"/>
    <w:rsid w:val="00F7743B"/>
    <w:rsid w:val="00F813D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990E3-03E2-440E-822A-D6FD5E0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Azra Sinanovic</cp:lastModifiedBy>
  <cp:revision>3</cp:revision>
  <dcterms:created xsi:type="dcterms:W3CDTF">2020-11-04T16:32:00Z</dcterms:created>
  <dcterms:modified xsi:type="dcterms:W3CDTF">2020-11-04T18:09:00Z</dcterms:modified>
</cp:coreProperties>
</file>